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DBACD">
      <w:pPr>
        <w:topLinePunct/>
        <w:spacing w:line="600" w:lineRule="exact"/>
        <w:ind w:right="416" w:rightChars="198"/>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5</w:t>
      </w:r>
    </w:p>
    <w:p w14:paraId="3A9534E4">
      <w:pPr>
        <w:pStyle w:val="2"/>
        <w:rPr>
          <w:rFonts w:hint="eastAsia"/>
          <w:lang w:eastAsia="zh-CN"/>
        </w:rPr>
      </w:pPr>
    </w:p>
    <w:p w14:paraId="4A4BDCB9">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Style w:val="12"/>
          <w:rFonts w:hint="eastAsia" w:ascii="方正小标宋简体" w:hAnsi="宋体" w:eastAsia="方正小标宋简体" w:cs="Times New Roman"/>
          <w:b w:val="0"/>
          <w:bCs w:val="0"/>
          <w:kern w:val="2"/>
          <w:sz w:val="44"/>
          <w:szCs w:val="44"/>
          <w:lang w:val="en-US" w:eastAsia="zh-CN" w:bidi="ar-SA"/>
        </w:rPr>
      </w:pPr>
      <w:r>
        <w:rPr>
          <w:rFonts w:hint="default" w:ascii="仿宋_GB2312" w:hAnsi="仿宋_GB2312" w:eastAsia="仿宋_GB2312" w:cs="仿宋_GB2312"/>
          <w:color w:val="000000" w:themeColor="text1"/>
          <w:sz w:val="32"/>
          <w:szCs w:val="32"/>
          <w:lang w:val="en"/>
        </w:rPr>
        <w:t xml:space="preserve">  </w:t>
      </w:r>
      <w:r>
        <w:rPr>
          <w:rStyle w:val="12"/>
          <w:rFonts w:hint="default" w:ascii="方正小标宋简体" w:hAnsi="宋体" w:eastAsia="方正小标宋简体" w:cs="Times New Roman"/>
          <w:b w:val="0"/>
          <w:bCs w:val="0"/>
          <w:kern w:val="2"/>
          <w:sz w:val="44"/>
          <w:szCs w:val="44"/>
          <w:lang w:val="en-US" w:eastAsia="zh-CN" w:bidi="ar-SA"/>
        </w:rPr>
        <w:t>威海市艺术图书资料群众文化美术文物博物系列职称评委会路径申请对照表</w:t>
      </w:r>
    </w:p>
    <w:p w14:paraId="6B09A54B">
      <w:pPr>
        <w:pStyle w:val="8"/>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Style w:val="12"/>
          <w:rFonts w:hint="eastAsia" w:ascii="方正小标宋简体" w:hAnsi="宋体" w:eastAsia="方正小标宋简体" w:cs="Times New Roman"/>
          <w:b w:val="0"/>
          <w:bCs w:val="0"/>
          <w:kern w:val="2"/>
          <w:sz w:val="44"/>
          <w:szCs w:val="44"/>
          <w:lang w:val="en-US" w:eastAsia="zh-CN" w:bidi="ar-SA"/>
        </w:rPr>
      </w:pPr>
    </w:p>
    <w:tbl>
      <w:tblPr>
        <w:tblStyle w:val="10"/>
        <w:tblW w:w="8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3060"/>
        <w:gridCol w:w="3150"/>
      </w:tblGrid>
      <w:tr w14:paraId="7B60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2205" w:type="dxa"/>
            <w:tcBorders>
              <w:tl2br w:val="single" w:color="auto" w:sz="4" w:space="0"/>
            </w:tcBorders>
          </w:tcPr>
          <w:p w14:paraId="4FE61389">
            <w:pPr>
              <w:pStyle w:val="8"/>
              <w:spacing w:beforeAutospacing="0" w:afterAutospacing="0"/>
              <w:ind w:firstLine="482" w:firstLineChars="200"/>
              <w:jc w:val="both"/>
              <w:rPr>
                <w:rFonts w:ascii="仿宋_GB2312" w:hAnsi="仿宋_GB2312" w:eastAsia="仿宋_GB2312" w:cs="仿宋_GB2312"/>
                <w:b/>
                <w:bCs/>
                <w:color w:val="auto"/>
              </w:rPr>
            </w:pPr>
          </w:p>
          <w:p w14:paraId="495D1C25">
            <w:pPr>
              <w:pStyle w:val="8"/>
              <w:spacing w:beforeAutospacing="0" w:afterAutospacing="0"/>
              <w:ind w:firstLine="964" w:firstLineChars="400"/>
              <w:jc w:val="both"/>
              <w:rPr>
                <w:rFonts w:ascii="仿宋_GB2312" w:hAnsi="仿宋_GB2312" w:eastAsia="仿宋_GB2312" w:cs="仿宋_GB2312"/>
                <w:b/>
                <w:bCs/>
                <w:color w:val="auto"/>
              </w:rPr>
            </w:pPr>
            <w:r>
              <w:rPr>
                <w:rFonts w:hint="eastAsia" w:ascii="仿宋_GB2312" w:hAnsi="仿宋_GB2312" w:eastAsia="仿宋_GB2312" w:cs="仿宋_GB2312"/>
                <w:b/>
                <w:bCs/>
                <w:color w:val="auto"/>
              </w:rPr>
              <w:t>职称级别</w:t>
            </w:r>
          </w:p>
          <w:p w14:paraId="4F57BD5F">
            <w:pPr>
              <w:pStyle w:val="8"/>
              <w:spacing w:beforeAutospacing="0" w:afterAutospacing="0"/>
              <w:ind w:firstLine="241" w:firstLineChars="100"/>
              <w:jc w:val="both"/>
              <w:rPr>
                <w:rFonts w:ascii="仿宋_GB2312" w:hAnsi="仿宋_GB2312" w:eastAsia="仿宋_GB2312" w:cs="仿宋_GB2312"/>
                <w:b/>
                <w:bCs/>
                <w:color w:val="auto"/>
              </w:rPr>
            </w:pPr>
          </w:p>
          <w:p w14:paraId="4C4D9AEC">
            <w:pPr>
              <w:pStyle w:val="8"/>
              <w:spacing w:beforeAutospacing="0" w:afterAutospacing="0"/>
              <w:jc w:val="both"/>
              <w:rPr>
                <w:rFonts w:ascii="仿宋_GB2312" w:hAnsi="仿宋_GB2312" w:eastAsia="仿宋_GB2312" w:cs="仿宋_GB2312"/>
                <w:color w:val="auto"/>
                <w:sz w:val="32"/>
                <w:szCs w:val="32"/>
              </w:rPr>
            </w:pPr>
            <w:r>
              <w:rPr>
                <w:rFonts w:hint="eastAsia" w:ascii="仿宋_GB2312" w:hAnsi="仿宋_GB2312" w:eastAsia="仿宋_GB2312" w:cs="仿宋_GB2312"/>
                <w:b/>
                <w:bCs/>
                <w:color w:val="auto"/>
              </w:rPr>
              <w:t>系列专业</w:t>
            </w:r>
          </w:p>
        </w:tc>
        <w:tc>
          <w:tcPr>
            <w:tcW w:w="3060" w:type="dxa"/>
            <w:vAlign w:val="center"/>
          </w:tcPr>
          <w:p w14:paraId="71E9CBCA">
            <w:pPr>
              <w:pStyle w:val="8"/>
              <w:spacing w:beforeAutospacing="0" w:afterAutospacing="0"/>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eastAsia="zh-CN"/>
              </w:rPr>
              <w:t>中级</w:t>
            </w:r>
            <w:r>
              <w:rPr>
                <w:rFonts w:hint="eastAsia" w:ascii="仿宋_GB2312" w:hAnsi="仿宋_GB2312" w:eastAsia="仿宋_GB2312" w:cs="仿宋_GB2312"/>
                <w:b/>
                <w:bCs/>
                <w:color w:val="auto"/>
                <w:sz w:val="28"/>
                <w:szCs w:val="28"/>
              </w:rPr>
              <w:t>职称</w:t>
            </w:r>
          </w:p>
        </w:tc>
        <w:tc>
          <w:tcPr>
            <w:tcW w:w="3150" w:type="dxa"/>
            <w:vAlign w:val="center"/>
          </w:tcPr>
          <w:p w14:paraId="5177C625">
            <w:pPr>
              <w:pStyle w:val="8"/>
              <w:spacing w:beforeAutospacing="0" w:afterAutospacing="0"/>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eastAsia="zh-CN"/>
              </w:rPr>
              <w:t>初级</w:t>
            </w:r>
            <w:r>
              <w:rPr>
                <w:rFonts w:hint="eastAsia" w:ascii="仿宋_GB2312" w:hAnsi="仿宋_GB2312" w:eastAsia="仿宋_GB2312" w:cs="仿宋_GB2312"/>
                <w:b/>
                <w:bCs/>
                <w:color w:val="auto"/>
                <w:sz w:val="28"/>
                <w:szCs w:val="28"/>
              </w:rPr>
              <w:t>职称</w:t>
            </w:r>
          </w:p>
        </w:tc>
      </w:tr>
      <w:tr w14:paraId="2999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05" w:type="dxa"/>
            <w:vAlign w:val="center"/>
          </w:tcPr>
          <w:p w14:paraId="262F6094">
            <w:pPr>
              <w:jc w:val="center"/>
              <w:textAlignment w:val="center"/>
              <w:rPr>
                <w:rFonts w:hint="eastAsia" w:ascii="仿宋_GB2312" w:hAnsi="仿宋_GB2312" w:eastAsia="仿宋_GB2312" w:cs="仿宋_GB2312"/>
                <w:b/>
                <w:color w:val="auto"/>
                <w:szCs w:val="21"/>
                <w:lang w:eastAsia="zh-CN"/>
              </w:rPr>
            </w:pPr>
            <w:r>
              <w:rPr>
                <w:rFonts w:hint="eastAsia" w:ascii="仿宋_GB2312" w:hAnsi="仿宋_GB2312" w:eastAsia="仿宋_GB2312" w:cs="仿宋_GB2312"/>
                <w:b/>
                <w:color w:val="auto"/>
                <w:szCs w:val="21"/>
                <w:lang w:eastAsia="zh-CN"/>
              </w:rPr>
              <w:t>图书资料</w:t>
            </w:r>
          </w:p>
        </w:tc>
        <w:tc>
          <w:tcPr>
            <w:tcW w:w="3060" w:type="dxa"/>
            <w:vAlign w:val="center"/>
          </w:tcPr>
          <w:p w14:paraId="6E3071BF">
            <w:pPr>
              <w:pStyle w:val="8"/>
              <w:spacing w:beforeAutospacing="0" w:afterAutospacing="0"/>
              <w:jc w:val="center"/>
              <w:rPr>
                <w:rFonts w:ascii="仿宋_GB2312" w:hAnsi="仿宋_GB2312" w:eastAsia="仿宋_GB2312" w:cs="仿宋_GB2312"/>
                <w:b/>
                <w:bCs w:val="0"/>
                <w:color w:val="auto"/>
                <w:kern w:val="0"/>
                <w:sz w:val="21"/>
                <w:szCs w:val="21"/>
                <w:lang w:val="en-US" w:eastAsia="zh-CN" w:bidi="ar-SA"/>
              </w:rPr>
            </w:pPr>
            <w:r>
              <w:rPr>
                <w:rFonts w:hint="eastAsia" w:ascii="仿宋_GB2312" w:hAnsi="仿宋_GB2312" w:eastAsia="仿宋_GB2312" w:cs="仿宋_GB2312"/>
                <w:b/>
                <w:bCs w:val="0"/>
                <w:color w:val="auto"/>
                <w:sz w:val="21"/>
                <w:szCs w:val="21"/>
              </w:rPr>
              <w:t>威海市图书资料专业职务资格</w:t>
            </w:r>
            <w:r>
              <w:rPr>
                <w:rFonts w:hint="eastAsia" w:ascii="仿宋_GB2312" w:hAnsi="仿宋_GB2312" w:eastAsia="仿宋_GB2312" w:cs="仿宋_GB2312"/>
                <w:b/>
                <w:bCs w:val="0"/>
                <w:color w:val="auto"/>
                <w:sz w:val="21"/>
                <w:szCs w:val="21"/>
                <w:lang w:eastAsia="zh-CN"/>
              </w:rPr>
              <w:t>中</w:t>
            </w:r>
            <w:r>
              <w:rPr>
                <w:rFonts w:hint="eastAsia" w:ascii="仿宋_GB2312" w:hAnsi="仿宋_GB2312" w:eastAsia="仿宋_GB2312" w:cs="仿宋_GB2312"/>
                <w:b/>
                <w:bCs w:val="0"/>
                <w:color w:val="auto"/>
                <w:sz w:val="21"/>
                <w:szCs w:val="21"/>
              </w:rPr>
              <w:t>级评审委员会</w:t>
            </w:r>
          </w:p>
        </w:tc>
        <w:tc>
          <w:tcPr>
            <w:tcW w:w="3150" w:type="dxa"/>
            <w:vAlign w:val="center"/>
          </w:tcPr>
          <w:p w14:paraId="578E22E1">
            <w:pPr>
              <w:pStyle w:val="8"/>
              <w:spacing w:beforeAutospacing="0" w:afterAutospacing="0"/>
              <w:jc w:val="center"/>
              <w:rPr>
                <w:rFonts w:ascii="仿宋_GB2312" w:hAnsi="仿宋_GB2312" w:eastAsia="仿宋_GB2312" w:cs="仿宋_GB2312"/>
                <w:b/>
                <w:bCs w:val="0"/>
                <w:color w:val="auto"/>
                <w:sz w:val="21"/>
                <w:szCs w:val="21"/>
              </w:rPr>
            </w:pPr>
            <w:r>
              <w:rPr>
                <w:rFonts w:hint="eastAsia" w:ascii="仿宋_GB2312" w:hAnsi="仿宋_GB2312" w:eastAsia="仿宋_GB2312" w:cs="仿宋_GB2312"/>
                <w:b/>
                <w:bCs w:val="0"/>
                <w:color w:val="auto"/>
                <w:sz w:val="21"/>
                <w:szCs w:val="21"/>
              </w:rPr>
              <w:t>威海市图书资料专业职务资格初级评审委员会</w:t>
            </w:r>
          </w:p>
        </w:tc>
      </w:tr>
      <w:tr w14:paraId="3542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05" w:type="dxa"/>
            <w:vAlign w:val="center"/>
          </w:tcPr>
          <w:p w14:paraId="1DC49E60">
            <w:pPr>
              <w:jc w:val="center"/>
              <w:textAlignment w:val="center"/>
              <w:rPr>
                <w:rFonts w:hint="eastAsia" w:ascii="仿宋_GB2312" w:hAnsi="仿宋_GB2312" w:eastAsia="仿宋_GB2312" w:cs="仿宋_GB2312"/>
                <w:b/>
                <w:color w:val="auto"/>
                <w:szCs w:val="21"/>
                <w:lang w:eastAsia="zh-CN"/>
              </w:rPr>
            </w:pPr>
            <w:r>
              <w:rPr>
                <w:rFonts w:hint="eastAsia" w:ascii="仿宋_GB2312" w:hAnsi="仿宋_GB2312" w:eastAsia="仿宋_GB2312" w:cs="仿宋_GB2312"/>
                <w:b/>
                <w:color w:val="auto"/>
                <w:szCs w:val="21"/>
                <w:lang w:eastAsia="zh-CN"/>
              </w:rPr>
              <w:t>文物博物</w:t>
            </w:r>
          </w:p>
        </w:tc>
        <w:tc>
          <w:tcPr>
            <w:tcW w:w="3060" w:type="dxa"/>
            <w:vAlign w:val="center"/>
          </w:tcPr>
          <w:p w14:paraId="37719141">
            <w:pPr>
              <w:pStyle w:val="8"/>
              <w:spacing w:beforeAutospacing="0" w:afterAutospacing="0"/>
              <w:jc w:val="center"/>
              <w:rPr>
                <w:rFonts w:hint="eastAsia" w:ascii="仿宋_GB2312" w:hAnsi="仿宋_GB2312" w:eastAsia="仿宋_GB2312" w:cs="仿宋_GB2312"/>
                <w:b/>
                <w:bCs w:val="0"/>
                <w:color w:val="auto"/>
                <w:kern w:val="0"/>
                <w:sz w:val="21"/>
                <w:szCs w:val="21"/>
                <w:lang w:val="en-US" w:eastAsia="zh-CN" w:bidi="ar-SA"/>
              </w:rPr>
            </w:pPr>
            <w:r>
              <w:rPr>
                <w:rFonts w:hint="eastAsia" w:ascii="仿宋_GB2312" w:hAnsi="仿宋_GB2312" w:eastAsia="仿宋_GB2312" w:cs="仿宋_GB2312"/>
                <w:b/>
                <w:bCs w:val="0"/>
                <w:color w:val="auto"/>
                <w:sz w:val="21"/>
                <w:szCs w:val="21"/>
                <w:lang w:eastAsia="zh-CN"/>
              </w:rPr>
              <w:t>威海市文物博物专业职务资格中级评审委员会</w:t>
            </w:r>
          </w:p>
        </w:tc>
        <w:tc>
          <w:tcPr>
            <w:tcW w:w="3150" w:type="dxa"/>
            <w:vAlign w:val="center"/>
          </w:tcPr>
          <w:p w14:paraId="75A01155">
            <w:pPr>
              <w:pStyle w:val="8"/>
              <w:spacing w:beforeAutospacing="0" w:afterAutospacing="0"/>
              <w:jc w:val="center"/>
              <w:rPr>
                <w:rFonts w:hint="eastAsia" w:ascii="仿宋_GB2312" w:hAnsi="仿宋_GB2312" w:eastAsia="仿宋_GB2312" w:cs="仿宋_GB2312"/>
                <w:b/>
                <w:bCs w:val="0"/>
                <w:color w:val="auto"/>
                <w:sz w:val="21"/>
                <w:szCs w:val="21"/>
                <w:lang w:eastAsia="zh-CN"/>
              </w:rPr>
            </w:pPr>
            <w:r>
              <w:rPr>
                <w:rFonts w:hint="eastAsia" w:ascii="仿宋_GB2312" w:hAnsi="仿宋_GB2312" w:eastAsia="仿宋_GB2312" w:cs="仿宋_GB2312"/>
                <w:b/>
                <w:bCs w:val="0"/>
                <w:color w:val="auto"/>
                <w:sz w:val="21"/>
                <w:szCs w:val="21"/>
                <w:lang w:eastAsia="zh-CN"/>
              </w:rPr>
              <w:t>威海市文物博物专业职务资格初级评审委员会</w:t>
            </w:r>
          </w:p>
        </w:tc>
      </w:tr>
      <w:tr w14:paraId="4EAC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05" w:type="dxa"/>
            <w:vAlign w:val="center"/>
          </w:tcPr>
          <w:p w14:paraId="46F2FF24">
            <w:pPr>
              <w:jc w:val="center"/>
              <w:textAlignment w:val="center"/>
              <w:rPr>
                <w:rFonts w:hint="eastAsia" w:ascii="仿宋_GB2312" w:hAnsi="仿宋_GB2312" w:eastAsia="仿宋_GB2312" w:cs="仿宋_GB2312"/>
                <w:b/>
                <w:color w:val="auto"/>
                <w:szCs w:val="21"/>
                <w:lang w:eastAsia="zh-CN"/>
              </w:rPr>
            </w:pPr>
            <w:r>
              <w:rPr>
                <w:rFonts w:hint="eastAsia" w:ascii="仿宋_GB2312" w:hAnsi="仿宋_GB2312" w:eastAsia="仿宋_GB2312" w:cs="仿宋_GB2312"/>
                <w:b/>
                <w:color w:val="auto"/>
                <w:szCs w:val="21"/>
                <w:lang w:eastAsia="zh-CN"/>
              </w:rPr>
              <w:t>群众文化</w:t>
            </w:r>
          </w:p>
        </w:tc>
        <w:tc>
          <w:tcPr>
            <w:tcW w:w="3060" w:type="dxa"/>
            <w:vAlign w:val="center"/>
          </w:tcPr>
          <w:p w14:paraId="597CADFA">
            <w:pPr>
              <w:pStyle w:val="8"/>
              <w:spacing w:beforeAutospacing="0" w:afterAutospacing="0"/>
              <w:jc w:val="center"/>
              <w:rPr>
                <w:rFonts w:hint="eastAsia" w:ascii="仿宋_GB2312" w:hAnsi="仿宋_GB2312" w:eastAsia="仿宋_GB2312" w:cs="仿宋_GB2312"/>
                <w:b/>
                <w:bCs w:val="0"/>
                <w:color w:val="auto"/>
                <w:kern w:val="0"/>
                <w:sz w:val="21"/>
                <w:szCs w:val="21"/>
                <w:lang w:val="en-US" w:eastAsia="zh-CN" w:bidi="ar-SA"/>
              </w:rPr>
            </w:pPr>
            <w:r>
              <w:rPr>
                <w:rFonts w:hint="eastAsia" w:ascii="仿宋_GB2312" w:hAnsi="仿宋_GB2312" w:eastAsia="仿宋_GB2312" w:cs="仿宋_GB2312"/>
                <w:b/>
                <w:bCs w:val="0"/>
                <w:color w:val="auto"/>
                <w:sz w:val="21"/>
                <w:szCs w:val="21"/>
                <w:lang w:eastAsia="zh-CN"/>
              </w:rPr>
              <w:t>威海市群众文化专业职务资格中级评审委员会</w:t>
            </w:r>
          </w:p>
        </w:tc>
        <w:tc>
          <w:tcPr>
            <w:tcW w:w="3150" w:type="dxa"/>
            <w:vAlign w:val="center"/>
          </w:tcPr>
          <w:p w14:paraId="18192C48">
            <w:pPr>
              <w:pStyle w:val="8"/>
              <w:spacing w:beforeAutospacing="0" w:afterAutospacing="0"/>
              <w:jc w:val="center"/>
              <w:rPr>
                <w:rFonts w:hint="eastAsia" w:ascii="仿宋_GB2312" w:hAnsi="仿宋_GB2312" w:eastAsia="仿宋_GB2312" w:cs="仿宋_GB2312"/>
                <w:b/>
                <w:bCs w:val="0"/>
                <w:color w:val="auto"/>
                <w:sz w:val="21"/>
                <w:szCs w:val="21"/>
                <w:lang w:eastAsia="zh-CN"/>
              </w:rPr>
            </w:pPr>
            <w:r>
              <w:rPr>
                <w:rFonts w:hint="eastAsia" w:ascii="仿宋_GB2312" w:hAnsi="仿宋_GB2312" w:eastAsia="仿宋_GB2312" w:cs="仿宋_GB2312"/>
                <w:b/>
                <w:bCs w:val="0"/>
                <w:color w:val="auto"/>
                <w:sz w:val="21"/>
                <w:szCs w:val="21"/>
                <w:lang w:eastAsia="zh-CN"/>
              </w:rPr>
              <w:t>威海市群众文化专业职务资格初级评审委员会</w:t>
            </w:r>
          </w:p>
        </w:tc>
      </w:tr>
      <w:tr w14:paraId="40C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05" w:type="dxa"/>
            <w:vAlign w:val="center"/>
          </w:tcPr>
          <w:p w14:paraId="6F218122">
            <w:pPr>
              <w:jc w:val="center"/>
              <w:textAlignment w:val="center"/>
              <w:rPr>
                <w:rFonts w:hint="eastAsia" w:ascii="仿宋_GB2312" w:hAnsi="仿宋_GB2312" w:eastAsia="仿宋_GB2312" w:cs="仿宋_GB2312"/>
                <w:b/>
                <w:color w:val="auto"/>
                <w:szCs w:val="21"/>
                <w:lang w:eastAsia="zh-CN"/>
              </w:rPr>
            </w:pPr>
            <w:r>
              <w:rPr>
                <w:rFonts w:hint="eastAsia" w:ascii="仿宋_GB2312" w:hAnsi="仿宋_GB2312" w:eastAsia="仿宋_GB2312" w:cs="仿宋_GB2312"/>
                <w:b/>
                <w:color w:val="auto"/>
                <w:szCs w:val="21"/>
                <w:lang w:eastAsia="zh-CN"/>
              </w:rPr>
              <w:t>艺术</w:t>
            </w:r>
          </w:p>
        </w:tc>
        <w:tc>
          <w:tcPr>
            <w:tcW w:w="3060" w:type="dxa"/>
            <w:vAlign w:val="center"/>
          </w:tcPr>
          <w:p w14:paraId="37085C06">
            <w:pPr>
              <w:pStyle w:val="8"/>
              <w:spacing w:beforeAutospacing="0" w:afterAutospacing="0"/>
              <w:jc w:val="center"/>
              <w:rPr>
                <w:rFonts w:hint="eastAsia" w:ascii="仿宋_GB2312" w:hAnsi="仿宋_GB2312" w:eastAsia="仿宋_GB2312" w:cs="仿宋_GB2312"/>
                <w:b/>
                <w:bCs w:val="0"/>
                <w:color w:val="auto"/>
                <w:kern w:val="0"/>
                <w:sz w:val="21"/>
                <w:szCs w:val="21"/>
                <w:lang w:val="en-US" w:eastAsia="zh-CN" w:bidi="ar-SA"/>
              </w:rPr>
            </w:pPr>
            <w:r>
              <w:rPr>
                <w:rFonts w:hint="eastAsia" w:ascii="仿宋_GB2312" w:hAnsi="仿宋_GB2312" w:eastAsia="仿宋_GB2312" w:cs="仿宋_GB2312"/>
                <w:b/>
                <w:bCs w:val="0"/>
                <w:color w:val="auto"/>
                <w:sz w:val="21"/>
                <w:szCs w:val="21"/>
                <w:lang w:eastAsia="zh-CN"/>
              </w:rPr>
              <w:t>威海市艺术专业职务资格中级评审委员会</w:t>
            </w:r>
          </w:p>
        </w:tc>
        <w:tc>
          <w:tcPr>
            <w:tcW w:w="3150" w:type="dxa"/>
            <w:vAlign w:val="center"/>
          </w:tcPr>
          <w:p w14:paraId="300DAA77">
            <w:pPr>
              <w:pStyle w:val="8"/>
              <w:spacing w:beforeAutospacing="0" w:afterAutospacing="0"/>
              <w:jc w:val="center"/>
              <w:rPr>
                <w:rFonts w:hint="eastAsia" w:ascii="仿宋_GB2312" w:hAnsi="仿宋_GB2312" w:eastAsia="仿宋_GB2312" w:cs="仿宋_GB2312"/>
                <w:b/>
                <w:bCs w:val="0"/>
                <w:color w:val="auto"/>
                <w:sz w:val="21"/>
                <w:szCs w:val="21"/>
                <w:lang w:eastAsia="zh-CN"/>
              </w:rPr>
            </w:pPr>
            <w:r>
              <w:rPr>
                <w:rFonts w:hint="eastAsia" w:ascii="仿宋_GB2312" w:hAnsi="仿宋_GB2312" w:eastAsia="仿宋_GB2312" w:cs="仿宋_GB2312"/>
                <w:b/>
                <w:bCs w:val="0"/>
                <w:color w:val="auto"/>
                <w:sz w:val="21"/>
                <w:szCs w:val="21"/>
                <w:lang w:eastAsia="zh-CN"/>
              </w:rPr>
              <w:t>威海市艺术专业职务资格初级评审委员会</w:t>
            </w:r>
          </w:p>
        </w:tc>
      </w:tr>
      <w:tr w14:paraId="7DC9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05" w:type="dxa"/>
            <w:vAlign w:val="center"/>
          </w:tcPr>
          <w:p w14:paraId="531FF219">
            <w:pPr>
              <w:jc w:val="center"/>
              <w:textAlignment w:val="center"/>
              <w:rPr>
                <w:rFonts w:hint="eastAsia" w:ascii="仿宋_GB2312" w:hAnsi="仿宋_GB2312" w:eastAsia="仿宋_GB2312" w:cs="仿宋_GB2312"/>
                <w:b/>
                <w:color w:val="auto"/>
                <w:szCs w:val="21"/>
                <w:lang w:eastAsia="zh-CN"/>
              </w:rPr>
            </w:pPr>
            <w:r>
              <w:rPr>
                <w:rFonts w:hint="eastAsia" w:ascii="仿宋_GB2312" w:hAnsi="仿宋_GB2312" w:eastAsia="仿宋_GB2312" w:cs="仿宋_GB2312"/>
                <w:b/>
                <w:color w:val="auto"/>
                <w:szCs w:val="21"/>
                <w:lang w:eastAsia="zh-CN"/>
              </w:rPr>
              <w:t>美术</w:t>
            </w:r>
          </w:p>
        </w:tc>
        <w:tc>
          <w:tcPr>
            <w:tcW w:w="3060" w:type="dxa"/>
            <w:vAlign w:val="center"/>
          </w:tcPr>
          <w:p w14:paraId="5B2AE741">
            <w:pPr>
              <w:pStyle w:val="8"/>
              <w:spacing w:beforeAutospacing="0" w:afterAutospacing="0"/>
              <w:jc w:val="center"/>
              <w:rPr>
                <w:rFonts w:hint="eastAsia" w:ascii="仿宋_GB2312" w:hAnsi="仿宋_GB2312" w:eastAsia="仿宋_GB2312" w:cs="仿宋_GB2312"/>
                <w:b/>
                <w:bCs w:val="0"/>
                <w:color w:val="auto"/>
                <w:sz w:val="21"/>
                <w:szCs w:val="21"/>
              </w:rPr>
            </w:pPr>
            <w:r>
              <w:rPr>
                <w:rFonts w:hint="eastAsia" w:ascii="仿宋_GB2312" w:hAnsi="仿宋_GB2312" w:eastAsia="仿宋_GB2312" w:cs="仿宋_GB2312"/>
                <w:b/>
                <w:bCs w:val="0"/>
                <w:color w:val="auto"/>
                <w:sz w:val="21"/>
                <w:szCs w:val="21"/>
                <w:lang w:eastAsia="zh-CN"/>
              </w:rPr>
              <w:t>威海市美术专业职务资格中级评审委员会</w:t>
            </w:r>
          </w:p>
        </w:tc>
        <w:tc>
          <w:tcPr>
            <w:tcW w:w="3150" w:type="dxa"/>
            <w:vAlign w:val="center"/>
          </w:tcPr>
          <w:p w14:paraId="371C23E7">
            <w:pPr>
              <w:pStyle w:val="8"/>
              <w:spacing w:beforeAutospacing="0" w:afterAutospacing="0"/>
              <w:jc w:val="center"/>
              <w:rPr>
                <w:rFonts w:hint="eastAsia" w:ascii="仿宋_GB2312" w:hAnsi="仿宋_GB2312" w:eastAsia="仿宋_GB2312" w:cs="仿宋_GB2312"/>
                <w:b/>
                <w:bCs w:val="0"/>
                <w:color w:val="auto"/>
                <w:sz w:val="21"/>
                <w:szCs w:val="21"/>
                <w:lang w:eastAsia="zh-CN"/>
              </w:rPr>
            </w:pPr>
            <w:r>
              <w:rPr>
                <w:rFonts w:hint="eastAsia" w:ascii="仿宋_GB2312" w:hAnsi="仿宋_GB2312" w:eastAsia="仿宋_GB2312" w:cs="仿宋_GB2312"/>
                <w:b/>
                <w:bCs w:val="0"/>
                <w:color w:val="auto"/>
                <w:sz w:val="21"/>
                <w:szCs w:val="21"/>
                <w:lang w:eastAsia="zh-CN"/>
              </w:rPr>
              <w:t>威海市美术专业职务资格初级评审委员会</w:t>
            </w:r>
          </w:p>
        </w:tc>
      </w:tr>
    </w:tbl>
    <w:p w14:paraId="54FF16C5">
      <w:pPr>
        <w:pStyle w:val="8"/>
        <w:spacing w:beforeAutospacing="0" w:afterAutospacing="0"/>
        <w:jc w:val="both"/>
        <w:rPr>
          <w:rFonts w:ascii="仿宋_GB2312" w:hAnsi="仿宋_GB2312" w:eastAsia="仿宋_GB2312" w:cs="仿宋_GB2312"/>
          <w:color w:val="000000" w:themeColor="text1"/>
          <w:sz w:val="32"/>
          <w:szCs w:val="32"/>
        </w:rPr>
      </w:pPr>
      <w:bookmarkStart w:id="0" w:name="_GoBack"/>
      <w:bookmarkEnd w:id="0"/>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26492">
    <w:pPr>
      <w:pStyle w:val="6"/>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14:paraId="5938A679">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35E74"/>
    <w:multiLevelType w:val="multilevel"/>
    <w:tmpl w:val="5F435E74"/>
    <w:lvl w:ilvl="0" w:tentative="0">
      <w:start w:val="1"/>
      <w:numFmt w:val="decimal"/>
      <w:pStyle w:val="3"/>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QwNWQ2YmI1Y2I4MDM2YWMwZTMzYWE3NGJlNzNiODAifQ=="/>
  </w:docVars>
  <w:rsids>
    <w:rsidRoot w:val="27933056"/>
    <w:rsid w:val="00371D6E"/>
    <w:rsid w:val="00572B8B"/>
    <w:rsid w:val="00D30D59"/>
    <w:rsid w:val="00EE7A3E"/>
    <w:rsid w:val="00F46AE6"/>
    <w:rsid w:val="015039C1"/>
    <w:rsid w:val="0155696B"/>
    <w:rsid w:val="022C0D40"/>
    <w:rsid w:val="049631AD"/>
    <w:rsid w:val="05165079"/>
    <w:rsid w:val="053D6F7D"/>
    <w:rsid w:val="05A9763C"/>
    <w:rsid w:val="05EF2A73"/>
    <w:rsid w:val="06E84FDA"/>
    <w:rsid w:val="0871339E"/>
    <w:rsid w:val="08A60783"/>
    <w:rsid w:val="090B4966"/>
    <w:rsid w:val="09B63FB1"/>
    <w:rsid w:val="0A012642"/>
    <w:rsid w:val="0A232FF0"/>
    <w:rsid w:val="0BB27452"/>
    <w:rsid w:val="0BD10034"/>
    <w:rsid w:val="0D104C0E"/>
    <w:rsid w:val="0D397EB3"/>
    <w:rsid w:val="0DB26EE1"/>
    <w:rsid w:val="0DC26DA6"/>
    <w:rsid w:val="0E056A05"/>
    <w:rsid w:val="11B5429E"/>
    <w:rsid w:val="122A412E"/>
    <w:rsid w:val="12736E5F"/>
    <w:rsid w:val="12EC26CB"/>
    <w:rsid w:val="13F62EDB"/>
    <w:rsid w:val="14656879"/>
    <w:rsid w:val="16E347AE"/>
    <w:rsid w:val="180D44A9"/>
    <w:rsid w:val="18211EF8"/>
    <w:rsid w:val="19935FB0"/>
    <w:rsid w:val="1B5F3FA1"/>
    <w:rsid w:val="1C0F2785"/>
    <w:rsid w:val="1D354D35"/>
    <w:rsid w:val="1D3C36F9"/>
    <w:rsid w:val="1E311B53"/>
    <w:rsid w:val="1F6F1B60"/>
    <w:rsid w:val="204F1ADB"/>
    <w:rsid w:val="205E3F4E"/>
    <w:rsid w:val="20AB37DE"/>
    <w:rsid w:val="20D50774"/>
    <w:rsid w:val="21497447"/>
    <w:rsid w:val="222A066A"/>
    <w:rsid w:val="225C6018"/>
    <w:rsid w:val="22EF0228"/>
    <w:rsid w:val="232A552C"/>
    <w:rsid w:val="26D95E65"/>
    <w:rsid w:val="2765696C"/>
    <w:rsid w:val="278615AB"/>
    <w:rsid w:val="27933056"/>
    <w:rsid w:val="29E62B93"/>
    <w:rsid w:val="2B153680"/>
    <w:rsid w:val="2B425776"/>
    <w:rsid w:val="2C430DB1"/>
    <w:rsid w:val="2D3A3A7D"/>
    <w:rsid w:val="2DA466EA"/>
    <w:rsid w:val="2E8D2579"/>
    <w:rsid w:val="2ECC7FDA"/>
    <w:rsid w:val="2ED75E25"/>
    <w:rsid w:val="2F3C4604"/>
    <w:rsid w:val="2F9C2C31"/>
    <w:rsid w:val="2FFF3E25"/>
    <w:rsid w:val="30046E61"/>
    <w:rsid w:val="300F20AC"/>
    <w:rsid w:val="304F693B"/>
    <w:rsid w:val="30985E32"/>
    <w:rsid w:val="30E1096B"/>
    <w:rsid w:val="30F71E5C"/>
    <w:rsid w:val="31797AF5"/>
    <w:rsid w:val="31FA2AA0"/>
    <w:rsid w:val="320725E5"/>
    <w:rsid w:val="350B6240"/>
    <w:rsid w:val="359D6616"/>
    <w:rsid w:val="35F24F02"/>
    <w:rsid w:val="366F2314"/>
    <w:rsid w:val="36A16CD1"/>
    <w:rsid w:val="370D4C73"/>
    <w:rsid w:val="381E266A"/>
    <w:rsid w:val="387C0C6A"/>
    <w:rsid w:val="395E06FD"/>
    <w:rsid w:val="396162AE"/>
    <w:rsid w:val="3A3465E6"/>
    <w:rsid w:val="3B325CE4"/>
    <w:rsid w:val="3BAB3B6A"/>
    <w:rsid w:val="3BE61C84"/>
    <w:rsid w:val="3BEC3DA2"/>
    <w:rsid w:val="3C6D68D9"/>
    <w:rsid w:val="3CAD1E92"/>
    <w:rsid w:val="3CD53A1F"/>
    <w:rsid w:val="3D201670"/>
    <w:rsid w:val="3D8E72B0"/>
    <w:rsid w:val="3D922424"/>
    <w:rsid w:val="3DB27D9D"/>
    <w:rsid w:val="3DD46F81"/>
    <w:rsid w:val="3E4B0EEA"/>
    <w:rsid w:val="3F6235A2"/>
    <w:rsid w:val="40A7721C"/>
    <w:rsid w:val="40C732A5"/>
    <w:rsid w:val="420E00F6"/>
    <w:rsid w:val="425B5CE7"/>
    <w:rsid w:val="429E5C17"/>
    <w:rsid w:val="4328349F"/>
    <w:rsid w:val="43BF21CB"/>
    <w:rsid w:val="43E24BAA"/>
    <w:rsid w:val="464436A7"/>
    <w:rsid w:val="464C6B55"/>
    <w:rsid w:val="46ED48FC"/>
    <w:rsid w:val="48F016EC"/>
    <w:rsid w:val="490048A8"/>
    <w:rsid w:val="4B8F1559"/>
    <w:rsid w:val="4CAA3FF8"/>
    <w:rsid w:val="4D174DE2"/>
    <w:rsid w:val="4D7D62C4"/>
    <w:rsid w:val="4D880884"/>
    <w:rsid w:val="4EA35445"/>
    <w:rsid w:val="4FA67D62"/>
    <w:rsid w:val="500C3E41"/>
    <w:rsid w:val="50A44BBC"/>
    <w:rsid w:val="516009E9"/>
    <w:rsid w:val="51857158"/>
    <w:rsid w:val="51BB5F9A"/>
    <w:rsid w:val="52FE1CF1"/>
    <w:rsid w:val="533C20A5"/>
    <w:rsid w:val="53DB7BB9"/>
    <w:rsid w:val="53DE0D45"/>
    <w:rsid w:val="53EC32C9"/>
    <w:rsid w:val="543F6171"/>
    <w:rsid w:val="54A61668"/>
    <w:rsid w:val="55134681"/>
    <w:rsid w:val="552F5B33"/>
    <w:rsid w:val="55856191"/>
    <w:rsid w:val="55CA69B3"/>
    <w:rsid w:val="56BD0946"/>
    <w:rsid w:val="56E9275B"/>
    <w:rsid w:val="57CF1AC2"/>
    <w:rsid w:val="58003366"/>
    <w:rsid w:val="582F5242"/>
    <w:rsid w:val="58314FF1"/>
    <w:rsid w:val="58A10896"/>
    <w:rsid w:val="593C6CBC"/>
    <w:rsid w:val="59642B62"/>
    <w:rsid w:val="596705DF"/>
    <w:rsid w:val="5A4B641F"/>
    <w:rsid w:val="5A756C51"/>
    <w:rsid w:val="5AA56725"/>
    <w:rsid w:val="5B443486"/>
    <w:rsid w:val="5B455011"/>
    <w:rsid w:val="5C627F5E"/>
    <w:rsid w:val="6135590A"/>
    <w:rsid w:val="61B52446"/>
    <w:rsid w:val="63EC70CE"/>
    <w:rsid w:val="64941518"/>
    <w:rsid w:val="663031B0"/>
    <w:rsid w:val="6693661D"/>
    <w:rsid w:val="67065791"/>
    <w:rsid w:val="670E53BA"/>
    <w:rsid w:val="6715133D"/>
    <w:rsid w:val="67CA636D"/>
    <w:rsid w:val="68F64448"/>
    <w:rsid w:val="69E4722E"/>
    <w:rsid w:val="6D3C7105"/>
    <w:rsid w:val="6DEA32F4"/>
    <w:rsid w:val="6E210C0B"/>
    <w:rsid w:val="6F5E2734"/>
    <w:rsid w:val="70B67772"/>
    <w:rsid w:val="70B7206E"/>
    <w:rsid w:val="710908CA"/>
    <w:rsid w:val="726F7C7F"/>
    <w:rsid w:val="72A24AD4"/>
    <w:rsid w:val="745521F6"/>
    <w:rsid w:val="74E31C0A"/>
    <w:rsid w:val="750A43F6"/>
    <w:rsid w:val="754A1468"/>
    <w:rsid w:val="759B71CF"/>
    <w:rsid w:val="76356A07"/>
    <w:rsid w:val="76610C94"/>
    <w:rsid w:val="77487A92"/>
    <w:rsid w:val="775348C4"/>
    <w:rsid w:val="77C57A85"/>
    <w:rsid w:val="790B15DC"/>
    <w:rsid w:val="79565FFC"/>
    <w:rsid w:val="79964712"/>
    <w:rsid w:val="7BBF7F79"/>
    <w:rsid w:val="7BCD4B57"/>
    <w:rsid w:val="7CB36359"/>
    <w:rsid w:val="7CB67106"/>
    <w:rsid w:val="7CD73CD1"/>
    <w:rsid w:val="7CF92783"/>
    <w:rsid w:val="7D2554A6"/>
    <w:rsid w:val="7E8D33AB"/>
    <w:rsid w:val="7E9D3E89"/>
    <w:rsid w:val="7EFD13FB"/>
    <w:rsid w:val="D1FFB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ind w:firstLine="0"/>
      <w:outlineLvl w:val="0"/>
    </w:pPr>
    <w:rPr>
      <w:rFonts w:eastAsia="黑体"/>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Plain Text"/>
    <w:basedOn w:val="1"/>
    <w:qFormat/>
    <w:uiPriority w:val="0"/>
    <w:rPr>
      <w:rFonts w:ascii="宋体" w:hAnsi="Courier New" w:eastAsia="仿宋_GB2312"/>
      <w:b/>
      <w:i/>
      <w:szCs w:val="20"/>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TML Typewriter"/>
    <w:basedOn w:val="11"/>
    <w:qFormat/>
    <w:uiPriority w:val="0"/>
    <w:rPr>
      <w:rFonts w:ascii="Courier New" w:hAnsi="Courier New"/>
      <w:sz w:val="20"/>
    </w:rPr>
  </w:style>
  <w:style w:type="character" w:styleId="16">
    <w:name w:val="Hyperlink"/>
    <w:basedOn w:val="11"/>
    <w:qFormat/>
    <w:uiPriority w:val="0"/>
    <w:rPr>
      <w:color w:val="0000FF"/>
      <w:u w:val="single"/>
    </w:rPr>
  </w:style>
  <w:style w:type="character" w:customStyle="1" w:styleId="17">
    <w:name w:val="bsharetext"/>
    <w:basedOn w:val="11"/>
    <w:qFormat/>
    <w:uiPriority w:val="0"/>
  </w:style>
  <w:style w:type="character" w:customStyle="1" w:styleId="18">
    <w:name w:val="批注框文本 Char"/>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246</Words>
  <Characters>246</Characters>
  <Lines>13</Lines>
  <Paragraphs>18</Paragraphs>
  <TotalTime>0</TotalTime>
  <ScaleCrop>false</ScaleCrop>
  <LinksUpToDate>false</LinksUpToDate>
  <CharactersWithSpaces>248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2020-07-23T01:22:00Z</dcterms:created>
  <dc:creator>张文倩</dc:creator>
  <cp:lastModifiedBy>王寅猛</cp:lastModifiedBy>
  <cp:lastPrinted>2022-09-02T05:43:00Z</cp:lastPrinted>
  <dcterms:modified xsi:type="dcterms:W3CDTF">2026-08-13T09:13:02Z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707A80153EE145F29FB7B5575A788400</vt:lpwstr>
  </property>
  <property fmtid="{D5CDD505-2E9C-101B-9397-08002B2CF9AE}" pid="4" name="KSOTemplateDocerSaveRecord">
    <vt:lpwstr>eyJoZGlkIjoiY2QwNWQ2YmI1Y2I4MDM2YWMwZTMzYWE3NGJlNzNiODAiLCJ1c2VySWQiOiI0MzgxOTI3MzEifQ==</vt:lpwstr>
  </property>
</Properties>
</file>