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威海市关于乡村公共文化服务精致化发展的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为深入贯彻落实习近平总书记提出的“威海要向精致城市方向发展”的重要指示精神，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落实我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精致城市·幸福威海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部署，推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乡村文化振兴战略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，全面提升公共文化服务水平，制定如下意见。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贯彻精致城市建设理念，把人民群众的满意度作为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公共文化服务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目标，通过精当规划、精细管理、精心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组织、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精准服务，促进乡村公共文化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高质量发展，满足乡村居民对高品质文化生活的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，推动乡村公共文化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精致化发展。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（一）精准定位服务目标，实现公共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文化</w:t>
      </w:r>
      <w:r>
        <w:rPr>
          <w:rFonts w:hint="eastAsia" w:ascii="楷体" w:hAnsi="楷体" w:eastAsia="楷体" w:cs="楷体"/>
          <w:sz w:val="32"/>
          <w:szCs w:val="32"/>
        </w:rPr>
        <w:t>资源优化配置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开展需求评估。依托镇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（街）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综合文化站、村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综合性文化服务中心，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文化管理员、第三方评估机构、文化志愿者，以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数字化平台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为支撑，开展系统深入的公共文化服务需求调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，切实掌握乡村公共文化服务实际需求，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供需精准对接，提升乡村公共文化服务效能。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2.精心设计服务清单。厘清服务内容，明确配送组织主体、产品供应主体、资源承接主体职责，确保乡村公共文化产品质量和服务效益。以需求为导向，突出服务特色，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适合乡村受众特点的差异化方案。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人性化设计和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精细化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提升乡村居民对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文化生活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的满意度。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3.精确提供服务信息。本着及时、公开、便利的原则，在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文化馆、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图书馆、镇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（街道）综合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文化站、村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等公共文化服务设施醒目位置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严格按规定公示开放（含错时开放）时间、服务项目、服务标准、相关责任人，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知晓公共文化服务相关信息。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4.积极引导群众参与。广开渠道、积极培育，引导文化类社会组织面向乡村基层开展服务，支持乡村发展文化志愿者团队，吸引乡村文化热心人、能人和非遗传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</w:rPr>
        <w:t>人参与公共文化服务，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提高乡村居民公共文化活动的参与度。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（二）精心搭建服务平台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充分发挥文化基础设施效能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规范设施建设。基层综合性文化服务中心确需拆除或改变其功能、用途的，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要本着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先建后拆或建拆同时进行的原则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组织召开论证会，征得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区市文化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和旅游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行政主管部门同意。重新建设一般不能小于原有规模。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要统筹安排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特殊人群服务专区，完善无障碍设施，便于残障人士参与。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鼓励有条件的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综合性文化服务中心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增设空调、暖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等设施，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提升乡村公共文化设施的舒适度。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(牵头单位：市文化和旅游局、市残联；责任单位：各区市、国家级开发区、南海新区)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2.倡导人文设计。在文化设施选址、设计过程中，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尊重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历史，突出乡土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，将基层综合性文化服务中心打造成乡村文化地标，确保乡村有特色、有风景、有文化、有故事、有产业。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儒学讲堂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乡村记忆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历史文化展室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，展示乡村经济社会变迁物证，传承农耕渔猎文化，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挖掘传统文化价值，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强化教育、激励作用，打造文旅融合的基层实践空间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(牵头单位：市文化和旅游局；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分类管理。以需求差异和文化资源禀赋为标准，确定基层综合性文化服务中心的分类管理体系。分门别类地确定服务目标、服务内容、服务资源的权重配比，由市、区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文化和旅游行政主管部门提供相应的发展规划和专业指导，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阶段性发展计划，探索基层综合性文化服务中心的特色化发展，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将特色化和个性化纳入绩效考核。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文旅融合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。鼓励有条件的镇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（街）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综合文化站、村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综合性文化服务中心与乡村旅游服务中心相结合，提供旅游信息智能化引导、咨询接待、休闲娱乐等服务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与旅游公共服务设施共建共享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。挖掘盘活文化旅游资源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，建设特色博物展馆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。围绕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特色街区、特色小镇、特色温泉、特色民宿、特色演艺、特色节庆等六大主题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补充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完善公共服务功能，打造文化旅游服务品牌。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（三）精准实施服务项目，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赋能</w:t>
      </w:r>
      <w:r>
        <w:rPr>
          <w:rFonts w:hint="eastAsia" w:ascii="楷体" w:hAnsi="楷体" w:eastAsia="楷体" w:cs="楷体"/>
          <w:sz w:val="32"/>
          <w:szCs w:val="32"/>
        </w:rPr>
        <w:t>乡村文化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1.依托县域文化馆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图书馆总分馆制推动优质资源和服务向乡村延伸。依托市、区（市）图书馆资源，以青少年为重点深入开展乡村阅读推广服务。市、区（市）两级文化馆、美术馆、博物馆等公共文化场馆，定期安排专业人员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赴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乡村进行业务指导，提升乡村群众特别是青少年的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素养，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因地制宜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，同时兼顾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兴办乡村合唱团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特色服务项目。定期组织城市文艺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送文化下乡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推进公共数字文化服务向乡村拓展。依托威海公共文旅云一站式服务平台，加强公共文化服务机构馆藏产品数字化，打造公共文化资源共建共享数据库，并与国家、省数据库有效对接，为乡村群众提供更为丰富的数字文化资源。推进文化馆、图书馆中央网络课堂系统逐步向基层延伸，村(社区)公共文化服务场所实现无线网络全覆盖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3.传承红色文化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基因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。以乡村为重点，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充分挖掘本土历史文化，保护好历史文化名镇（村）、传统村落、传统建筑、农业文化遗产等。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弘扬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红色文化的时代价值，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做好“红色印迹”抢救保护利用工作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红色文化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下基层，发展红色文化旅游，推出红色研学精品线路。做好红色口述史，让每一处红色印迹都达到有物可看、有史可讲、有故事可传。加大对乡村题材文艺作品创作力度，推动文艺工作者“深入基层，扎根人民”，坚持贴近实际、贴近生活、贴近群众，创作出一批具有浓郁威海乡土特色、充满正能量、深受乡村居民欢迎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</w:t>
      </w:r>
      <w:r>
        <w:rPr>
          <w:rFonts w:hint="eastAsia" w:ascii="仿宋_GB2312" w:hAnsi="仿宋_GB2312" w:eastAsia="仿宋_GB2312" w:cs="仿宋_GB2312"/>
          <w:sz w:val="32"/>
          <w:szCs w:val="32"/>
        </w:rPr>
        <w:t>精品。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(牵头单位：市委组织部、市委宣传部、市委党史研究院、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市住房和城乡建设局、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市文化和旅游局；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实施非遗活态传承</w:t>
      </w:r>
      <w:r>
        <w:rPr>
          <w:rFonts w:hint="eastAsia" w:ascii="仿宋_GB2312" w:hAnsi="仿宋_GB2312" w:eastAsia="仿宋_GB2312" w:cs="仿宋_GB2312"/>
          <w:sz w:val="32"/>
          <w:szCs w:val="32"/>
        </w:rPr>
        <w:t>。健全传统工艺振兴目录。鼓励高校、企业和机构在乡村非遗资源富集地设立传统工艺工作站，搭建创意设计、工艺提升和推广销售平台。探索“非遗+扶贫”模式，支持设立非遗扶贫就业工坊，对建档立卡贫困人口进行传统技能培训，带动群众就业增收。支持非遗项目入驻产业园区，发展一批特色产业、建成一批龙头企业、形成一批著名品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串连</w:t>
      </w:r>
      <w:r>
        <w:rPr>
          <w:rFonts w:hint="eastAsia" w:ascii="仿宋_GB2312" w:hAnsi="仿宋_GB2312" w:eastAsia="仿宋_GB2312" w:cs="仿宋_GB2312"/>
          <w:sz w:val="32"/>
          <w:szCs w:val="32"/>
        </w:rPr>
        <w:t>精致文旅线路。结合红色旅游线、海景线、山景线、环城带“三线一环”美丽乡村示范带、“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山海景观大道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”项目建设，把乡村旅游示范镇、村和周边景区串联成珠，打造10条乡村文化旅游精品线路，推出100个乡村旅游打卡点，形成威海精致文化旅游路线图。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(牵头单位：市文化和旅游局、市自然资源和规划局、市住房和城乡建设局、市交通运输局；责任单位：各区市、国家级开发区、南海新区)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深化拓展新时代文明实践中心建设试点。发挥新文明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心统筹整合、指挥调度的作用，整合基层综合性文化服务中心、党群中心、文化礼堂、农家书屋等公共服务阵地设施，汇集爱国主义教育基地、党性教育基地、纪念场馆、名人故居、烈士陵园等红色资源，统筹群团组织、企事业单位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“五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老”人员、公益人士、乡土文化人才等各方面力量,做实做强志愿服务，通过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“讲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帮乐庆”五种形式，统筹推进学习实践科学理论、宣传宣讲党的政策、培育践行主流价值、丰富活跃文化生活、持续深入移风易俗等五项重要内容,不断加强和改进农村基层宣传思想文化工作，更好满足人民群众日益增长的精神文化需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(牵头单位：市委宣传部、市文化和旅游局；责任单位：各区市、国家级开发区、南海新区)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（四）精细把控服务质量，满足高品质、高标准需求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。严格执行《村（社区）综合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文化服务中心服务规范》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山东省地方标准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按照标准化要求，逐步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公共文化服务规划、供给、参与、评估等环节的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标准化体系。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2.建立体验师制度。本着职业多元、年龄分层的原则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面向社会公开招募公共文化服务体验师，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按规定享有文化志愿者的权利与义务，培训持证上岗，参与体验公共文化服务项目，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定期反馈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城乡公共文化服务状况。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3.提升服务人员素质。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通过多种形式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配齐配全镇级文化站工作人员，落实村级文化管理员补贴，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充实基层文化队伍。依托市区两级公共文化服务培训资源，定期对基层文化管理人员进行管理技能、组织动员、项目开发、活动设计和专业技能的培训。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4.完善第三方评估。开展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服务质量的第三方评估，并促进评估结果的有效应用，借助专业化的力量保障乡村居民获得高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</w:t>
      </w:r>
      <w:r>
        <w:rPr>
          <w:rFonts w:hint="eastAsia" w:ascii="仿宋_GB2312" w:hAnsi="仿宋_GB2312" w:eastAsia="仿宋_GB2312" w:cs="仿宋_GB2312"/>
          <w:sz w:val="32"/>
          <w:szCs w:val="32"/>
        </w:rPr>
        <w:t>质的公共文化服务。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（五）精心培育多元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服务</w:t>
      </w:r>
      <w:r>
        <w:rPr>
          <w:rFonts w:hint="eastAsia" w:ascii="楷体" w:hAnsi="楷体" w:eastAsia="楷体" w:cs="楷体"/>
          <w:sz w:val="32"/>
          <w:szCs w:val="32"/>
        </w:rPr>
        <w:t>主体，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打造乡村</w:t>
      </w:r>
      <w:r>
        <w:rPr>
          <w:rFonts w:hint="eastAsia" w:ascii="楷体" w:hAnsi="楷体" w:eastAsia="楷体" w:cs="楷体"/>
          <w:sz w:val="32"/>
          <w:szCs w:val="32"/>
        </w:rPr>
        <w:t>治理共同体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1.延伸公共文化服务协调机制。推动镇级建立基层公共文化服务协调机制，定期召开社会组织、基层群众共同参与的联席会议，统筹公共文化服务资源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，协调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解决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基层公共文化服务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方面的问题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2.培育文化类社会组织孵化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。鼓励和支持专业性社会组织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发展，搭建平台，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提供培育、孵化专业人员和服务，促进文化类社会组织快速健康成长。创新形式，开展各类公共文化服务公益创投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(牵头单位：市委宣传部、市文化和旅游局、市财政局；责任单位：各区市、国家级开发区、南海新区)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3.推进文化志愿服务专业化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。依托新时代文明实践中心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（站、所）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，进一步完善志愿者招募、注册、培训、记录、保障、嘉许等相关制度，推进专业型志愿服务站和专业志愿服务队伍建设。探索建立以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文化时间银行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+“信用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海贝分”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为主要形式的文化志愿服务支持体系。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(牵头单位：市委宣传部、市发展改革委、市文化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校地</w:t>
      </w:r>
      <w:r>
        <w:rPr>
          <w:rFonts w:hint="eastAsia" w:ascii="仿宋_GB2312" w:hAnsi="仿宋_GB2312" w:eastAsia="仿宋_GB2312" w:cs="仿宋_GB2312"/>
          <w:sz w:val="32"/>
          <w:szCs w:val="32"/>
        </w:rPr>
        <w:t>深度合作。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与高校、研究机构开展合作，形成政府管文化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社会办文化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专家议文化的多元共治格局。打造公共文化高端智库，创建文化治理研究院，推进区域公共文化治理研究联盟。借助高校师生的调研、社会实践，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将更多专业志愿服务力量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拓展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(牵头单位：市文化和旅游局；责任单位：各区市、国家级开发区、南海新区)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（一）动员部署阶段（2020年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召开会议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动员部署乡村公共文化服务精致化发展工作，下发实施意见、重点任务配档和集中攻坚行动重点难点问题配档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明确工作任务、责任分工及完成时限。召开座谈会，围绕促进乡村公共文化服务高质量发展、公共文化服务设施精当规划、设计乡村公共文化特色发展路径等方面问题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进行深入讨论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（二）集中攻坚阶段（2020年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月至2020年7月）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总结分析基层综合性文化服务中心绩效评估结果，有针对性地开展全面集中问题摸底行动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负责调查摸底，对现存的重点、难点问题进行梳理上报。市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文化和旅游局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上报事项进行分类汇总，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形成工作台账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清单，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开展全面整治，推动问题共同解决。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（三）稳步推进阶段（2020年7月至2020年12月）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召开全市乡村公共文化服务精致化工作推进会议，采取“现场观摩+集中开会”的方式，围绕乡村文化服务平台管理、文化内涵提升等不同方面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取重点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示范村进行全市观摩，并选取部分优秀村的创新项目进行会议交流。推进会议结束后，按照任务分工及时限要求，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抓好工作落实落地。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（四）深化提升阶段（2020年12月至长期）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通过一年的实践努力，在全市率先建立起权责明晰、管理精细、服务精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、常态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效的公共文化服务平台标准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。典型引路，每年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0个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示范村，为持续推进乡村公共文化服务精致化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提供参考和样板。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成立由市委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市政府负责同志任组长，各区市、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、南海新区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以及市相关部门负责人任成员的乡村公共文化服务精致化领导小组，全面负责乡村公共文化服务精致化协调工作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化和旅游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负责领导小组日常工作。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（二）加强资金保障。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乡村公共文化发展的财政保障，持续加大投入力度，创新财政资金投入方式，提高资金使用效率。发挥财政资金引导示范效应，通过PPP合作和以奖代补、先干后补、贷款担保、财政贴息等激励方式，引导民间资本投入乡村公共文化领域，参与乡村文化基础设施投资建设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加强</w:t>
      </w:r>
      <w:r>
        <w:rPr>
          <w:rFonts w:hint="eastAsia" w:ascii="楷体" w:hAnsi="楷体" w:eastAsia="楷体" w:cs="楷体"/>
          <w:sz w:val="32"/>
          <w:szCs w:val="32"/>
        </w:rPr>
        <w:t>督导考核。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将乡村公共文化服务精致化工作纳入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区市目标绩效管理考核，实行定期调度、定期通报、定期考核制度。各区市和有关部门贯彻落实情况要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将就贯彻落实情况适时组织开展监督检查。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（四）加强研究支持。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开展公共文化精致化研究，组织力量编制《威海市乡村公共文化精致化服务标准》，科学指导乡村公共文化服务精致化发展。邀请国内外专家进行研讨交流，形成常态化专家交流咨询机制。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（五）加强宣传引导。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高度重视新闻宣传和舆论引导工作，积极报道乡村公共文化服务精致化工作动态，宣传相关法规政策和先进工作典型，营造社会各界关心、支持和参与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公共文化服务精致化工作的浓厚氛围。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E48C6"/>
    <w:rsid w:val="00AC35B6"/>
    <w:rsid w:val="01B3400F"/>
    <w:rsid w:val="0358648F"/>
    <w:rsid w:val="060B4BD3"/>
    <w:rsid w:val="06286414"/>
    <w:rsid w:val="07485422"/>
    <w:rsid w:val="09C462FF"/>
    <w:rsid w:val="0A375509"/>
    <w:rsid w:val="0A54333A"/>
    <w:rsid w:val="0C4C7E4D"/>
    <w:rsid w:val="0D4959AF"/>
    <w:rsid w:val="0E3C392B"/>
    <w:rsid w:val="10E7467C"/>
    <w:rsid w:val="11B5284F"/>
    <w:rsid w:val="127917CF"/>
    <w:rsid w:val="13940F80"/>
    <w:rsid w:val="13E47813"/>
    <w:rsid w:val="13FA2EEE"/>
    <w:rsid w:val="14BE7CE5"/>
    <w:rsid w:val="157E191B"/>
    <w:rsid w:val="18700EFA"/>
    <w:rsid w:val="1A2B54EA"/>
    <w:rsid w:val="1B037B00"/>
    <w:rsid w:val="1E3D76F8"/>
    <w:rsid w:val="1EEB68BB"/>
    <w:rsid w:val="1F5B4D2F"/>
    <w:rsid w:val="201A0ED7"/>
    <w:rsid w:val="20401DD3"/>
    <w:rsid w:val="20875250"/>
    <w:rsid w:val="217C5AC8"/>
    <w:rsid w:val="23921B5E"/>
    <w:rsid w:val="24F44824"/>
    <w:rsid w:val="25E31F11"/>
    <w:rsid w:val="25EA021C"/>
    <w:rsid w:val="2701483B"/>
    <w:rsid w:val="279E289E"/>
    <w:rsid w:val="27D01DF3"/>
    <w:rsid w:val="284B27CD"/>
    <w:rsid w:val="2986155A"/>
    <w:rsid w:val="2ADE357E"/>
    <w:rsid w:val="2ADF768F"/>
    <w:rsid w:val="2C5A4AE4"/>
    <w:rsid w:val="2D223BD9"/>
    <w:rsid w:val="302529D2"/>
    <w:rsid w:val="303A5A65"/>
    <w:rsid w:val="30D82D42"/>
    <w:rsid w:val="31F71099"/>
    <w:rsid w:val="32CB3921"/>
    <w:rsid w:val="33A21A4D"/>
    <w:rsid w:val="365F6E99"/>
    <w:rsid w:val="3B4B05FD"/>
    <w:rsid w:val="3C365DEE"/>
    <w:rsid w:val="3CA85F74"/>
    <w:rsid w:val="3CEC2225"/>
    <w:rsid w:val="3D0909AC"/>
    <w:rsid w:val="3E721032"/>
    <w:rsid w:val="3E801F51"/>
    <w:rsid w:val="3E9A7B27"/>
    <w:rsid w:val="3FED1CA4"/>
    <w:rsid w:val="3FF94217"/>
    <w:rsid w:val="40B56A18"/>
    <w:rsid w:val="40D80A00"/>
    <w:rsid w:val="430C0893"/>
    <w:rsid w:val="45FF57F2"/>
    <w:rsid w:val="46746CA8"/>
    <w:rsid w:val="4694665B"/>
    <w:rsid w:val="46D3298A"/>
    <w:rsid w:val="48EE210D"/>
    <w:rsid w:val="4A266600"/>
    <w:rsid w:val="4AA75C39"/>
    <w:rsid w:val="4BAB3445"/>
    <w:rsid w:val="4CE8169D"/>
    <w:rsid w:val="4DCA4D9C"/>
    <w:rsid w:val="4DF552E6"/>
    <w:rsid w:val="4E2774A6"/>
    <w:rsid w:val="4F68034D"/>
    <w:rsid w:val="5113718D"/>
    <w:rsid w:val="535A64A8"/>
    <w:rsid w:val="53D31884"/>
    <w:rsid w:val="53FF791C"/>
    <w:rsid w:val="583441F0"/>
    <w:rsid w:val="594A43BC"/>
    <w:rsid w:val="59865AD6"/>
    <w:rsid w:val="59CD57C4"/>
    <w:rsid w:val="59E219F2"/>
    <w:rsid w:val="5C8A0A3E"/>
    <w:rsid w:val="5C9A00AA"/>
    <w:rsid w:val="5F8B22A5"/>
    <w:rsid w:val="60E653EF"/>
    <w:rsid w:val="62B6119F"/>
    <w:rsid w:val="63633427"/>
    <w:rsid w:val="63A66193"/>
    <w:rsid w:val="668831BA"/>
    <w:rsid w:val="69EC2446"/>
    <w:rsid w:val="6A7B5B76"/>
    <w:rsid w:val="6F9E376B"/>
    <w:rsid w:val="70425ED2"/>
    <w:rsid w:val="710755C1"/>
    <w:rsid w:val="73D95426"/>
    <w:rsid w:val="747C081C"/>
    <w:rsid w:val="74B66B14"/>
    <w:rsid w:val="76300364"/>
    <w:rsid w:val="78467BE6"/>
    <w:rsid w:val="793F520B"/>
    <w:rsid w:val="79F02388"/>
    <w:rsid w:val="7CD03B4F"/>
    <w:rsid w:val="7D551799"/>
    <w:rsid w:val="7EA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</w:style>
  <w:style w:type="paragraph" w:styleId="4">
    <w:name w:val="Balloon Text"/>
    <w:basedOn w:val="1"/>
    <w:link w:val="13"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4"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99"/>
  </w:style>
  <w:style w:type="character" w:customStyle="1" w:styleId="15">
    <w:name w:val="批注主题 字符"/>
    <w:basedOn w:val="14"/>
    <w:link w:val="2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0C324-5FB5-4C65-9D01-31027F3487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shanda</Company>
  <Pages>10</Pages>
  <Words>4611</Words>
  <Characters>4669</Characters>
  <Paragraphs>52</Paragraphs>
  <TotalTime>1</TotalTime>
  <ScaleCrop>false</ScaleCrop>
  <LinksUpToDate>false</LinksUpToDate>
  <CharactersWithSpaces>4674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2019-12-30T15:43:00Z</dcterms:created>
  <dc:creator>贾 景峰</dc:creator>
  <cp:lastModifiedBy>Administrator</cp:lastModifiedBy>
  <cp:lastPrinted>2020-02-05T07:33:00Z</cp:lastPrinted>
  <dcterms:modified xsi:type="dcterms:W3CDTF">2020-03-06T00:44:27Z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